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firstLine="0"/>
        <w:jc w:val="center"/>
        <w:rPr>
          <w:b w:val="1"/>
          <w:sz w:val="28"/>
          <w:szCs w:val="28"/>
        </w:rPr>
      </w:pPr>
      <w:r w:rsidDel="00000000" w:rsidR="00000000" w:rsidRPr="00000000">
        <w:rPr>
          <w:b w:val="1"/>
          <w:sz w:val="28"/>
          <w:szCs w:val="28"/>
          <w:rtl w:val="0"/>
        </w:rPr>
        <w:t xml:space="preserve">ANOTHER COMPANY, GANADOR EN LOS SABRE AWARDS 2020</w:t>
      </w:r>
    </w:p>
    <w:p w:rsidR="00000000" w:rsidDel="00000000" w:rsidP="00000000" w:rsidRDefault="00000000" w:rsidRPr="00000000" w14:paraId="00000002">
      <w:pPr>
        <w:spacing w:line="240" w:lineRule="auto"/>
        <w:ind w:left="0" w:firstLine="0"/>
        <w:jc w:val="both"/>
        <w:rPr>
          <w:b w:val="1"/>
          <w:sz w:val="20"/>
          <w:szCs w:val="20"/>
        </w:rPr>
      </w:pPr>
      <w:r w:rsidDel="00000000" w:rsidR="00000000" w:rsidRPr="00000000">
        <w:rPr>
          <w:rtl w:val="0"/>
        </w:rPr>
      </w:r>
    </w:p>
    <w:p w:rsidR="00000000" w:rsidDel="00000000" w:rsidP="00000000" w:rsidRDefault="00000000" w:rsidRPr="00000000" w14:paraId="00000003">
      <w:pPr>
        <w:numPr>
          <w:ilvl w:val="0"/>
          <w:numId w:val="2"/>
        </w:numPr>
        <w:spacing w:line="240" w:lineRule="auto"/>
        <w:ind w:left="720" w:hanging="360"/>
        <w:jc w:val="both"/>
        <w:rPr>
          <w:b w:val="1"/>
          <w:i w:val="1"/>
          <w:sz w:val="20"/>
          <w:szCs w:val="20"/>
        </w:rPr>
      </w:pPr>
      <w:r w:rsidDel="00000000" w:rsidR="00000000" w:rsidRPr="00000000">
        <w:rPr>
          <w:b w:val="1"/>
          <w:i w:val="1"/>
          <w:sz w:val="20"/>
          <w:szCs w:val="20"/>
          <w:rtl w:val="0"/>
        </w:rPr>
        <w:t xml:space="preserve">La premiación de los SABRE Awards Latin America se transmitió durante el Congreso Anual de Relaciones Públicas RADICAL 2020. </w:t>
      </w:r>
    </w:p>
    <w:p w:rsidR="00000000" w:rsidDel="00000000" w:rsidP="00000000" w:rsidRDefault="00000000" w:rsidRPr="00000000" w14:paraId="00000004">
      <w:pPr>
        <w:numPr>
          <w:ilvl w:val="0"/>
          <w:numId w:val="2"/>
        </w:numPr>
        <w:spacing w:line="240" w:lineRule="auto"/>
        <w:ind w:left="720" w:hanging="360"/>
        <w:jc w:val="both"/>
        <w:rPr>
          <w:b w:val="1"/>
          <w:i w:val="1"/>
          <w:sz w:val="20"/>
          <w:szCs w:val="20"/>
        </w:rPr>
      </w:pPr>
      <w:r w:rsidDel="00000000" w:rsidR="00000000" w:rsidRPr="00000000">
        <w:rPr>
          <w:b w:val="1"/>
          <w:i w:val="1"/>
          <w:sz w:val="20"/>
          <w:szCs w:val="20"/>
          <w:rtl w:val="0"/>
        </w:rPr>
        <w:t xml:space="preserve">Another Company recibió reconocimientos en las categorías de Social Media Campaign y Region - South America. </w:t>
      </w:r>
    </w:p>
    <w:p w:rsidR="00000000" w:rsidDel="00000000" w:rsidP="00000000" w:rsidRDefault="00000000" w:rsidRPr="00000000" w14:paraId="00000005">
      <w:pPr>
        <w:numPr>
          <w:ilvl w:val="0"/>
          <w:numId w:val="2"/>
        </w:numPr>
        <w:spacing w:line="240" w:lineRule="auto"/>
        <w:ind w:left="720" w:hanging="360"/>
        <w:jc w:val="both"/>
        <w:rPr>
          <w:b w:val="1"/>
          <w:i w:val="1"/>
          <w:sz w:val="20"/>
          <w:szCs w:val="20"/>
        </w:rPr>
      </w:pPr>
      <w:r w:rsidDel="00000000" w:rsidR="00000000" w:rsidRPr="00000000">
        <w:rPr>
          <w:b w:val="1"/>
          <w:i w:val="1"/>
          <w:sz w:val="20"/>
          <w:szCs w:val="20"/>
          <w:rtl w:val="0"/>
        </w:rPr>
        <w:t xml:space="preserve">Otros 12 proyectos por parte de Another Company quedaron como finalistas de sus respectivas categorías. </w:t>
      </w:r>
    </w:p>
    <w:p w:rsidR="00000000" w:rsidDel="00000000" w:rsidP="00000000" w:rsidRDefault="00000000" w:rsidRPr="00000000" w14:paraId="00000006">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07">
      <w:pPr>
        <w:spacing w:line="240" w:lineRule="auto"/>
        <w:ind w:left="0" w:firstLine="0"/>
        <w:jc w:val="both"/>
        <w:rPr>
          <w:sz w:val="20"/>
          <w:szCs w:val="20"/>
        </w:rPr>
      </w:pPr>
      <w:r w:rsidDel="00000000" w:rsidR="00000000" w:rsidRPr="00000000">
        <w:rPr>
          <w:sz w:val="20"/>
          <w:szCs w:val="20"/>
          <w:rtl w:val="0"/>
        </w:rPr>
        <w:t xml:space="preserve">Ciudad de México a 10 de septiembre de 2020.- En el marco del Congreso Anual de Relaciones Públicas RADICAL 2020, se llevó a cabo la premiación a las mejores campañas de comunicación estratégica en América Latina, donde destacaron múltiples casos de éxito de agencias líderes, tanto en México como en la región, mismas que incluyen servicios de relaciones públicas como de marketing, influencer marketing, asuntos públicos y comunicación digital, principalmente. </w:t>
      </w:r>
    </w:p>
    <w:p w:rsidR="00000000" w:rsidDel="00000000" w:rsidP="00000000" w:rsidRDefault="00000000" w:rsidRPr="00000000" w14:paraId="00000008">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09">
      <w:pPr>
        <w:spacing w:line="240" w:lineRule="auto"/>
        <w:ind w:left="0" w:firstLine="0"/>
        <w:jc w:val="both"/>
        <w:rPr>
          <w:sz w:val="20"/>
          <w:szCs w:val="20"/>
        </w:rPr>
      </w:pPr>
      <w:r w:rsidDel="00000000" w:rsidR="00000000" w:rsidRPr="00000000">
        <w:rPr>
          <w:sz w:val="20"/>
          <w:szCs w:val="20"/>
          <w:rtl w:val="0"/>
        </w:rPr>
        <w:t xml:space="preserve">En dicho contexto, Another Company, agencia regional de comunicación estratégica logró ser reconocida como ganadora en las siguientes categorías: </w:t>
      </w:r>
    </w:p>
    <w:p w:rsidR="00000000" w:rsidDel="00000000" w:rsidP="00000000" w:rsidRDefault="00000000" w:rsidRPr="00000000" w14:paraId="0000000A">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0B">
      <w:pPr>
        <w:numPr>
          <w:ilvl w:val="0"/>
          <w:numId w:val="3"/>
        </w:numPr>
        <w:spacing w:line="240" w:lineRule="auto"/>
        <w:ind w:left="720" w:hanging="360"/>
        <w:jc w:val="both"/>
        <w:rPr>
          <w:b w:val="1"/>
          <w:sz w:val="20"/>
          <w:szCs w:val="20"/>
        </w:rPr>
      </w:pPr>
      <w:r w:rsidDel="00000000" w:rsidR="00000000" w:rsidRPr="00000000">
        <w:rPr>
          <w:b w:val="1"/>
          <w:sz w:val="20"/>
          <w:szCs w:val="20"/>
          <w:rtl w:val="0"/>
        </w:rPr>
        <w:t xml:space="preserve">Social Media Campaign: NBA Mexico City Games 2019: </w:t>
      </w:r>
      <w:r w:rsidDel="00000000" w:rsidR="00000000" w:rsidRPr="00000000">
        <w:rPr>
          <w:sz w:val="20"/>
          <w:szCs w:val="20"/>
          <w:rtl w:val="0"/>
        </w:rPr>
        <w:t xml:space="preserve">El objetivo de la campaña fue impulsar la venta de boletos para los dos juegos en la Arena Ciudad de México y generar 6.500 conversiones para los dos juegos de la NBA en México. Se superó el objetivo principal y se logró completar 2 “Sold Outs”.</w:t>
      </w:r>
    </w:p>
    <w:p w:rsidR="00000000" w:rsidDel="00000000" w:rsidP="00000000" w:rsidRDefault="00000000" w:rsidRPr="00000000" w14:paraId="0000000C">
      <w:pPr>
        <w:numPr>
          <w:ilvl w:val="0"/>
          <w:numId w:val="3"/>
        </w:numPr>
        <w:spacing w:line="240" w:lineRule="auto"/>
        <w:ind w:left="720" w:hanging="360"/>
        <w:jc w:val="both"/>
        <w:rPr>
          <w:b w:val="1"/>
          <w:sz w:val="20"/>
          <w:szCs w:val="20"/>
        </w:rPr>
      </w:pPr>
      <w:r w:rsidDel="00000000" w:rsidR="00000000" w:rsidRPr="00000000">
        <w:rPr>
          <w:b w:val="1"/>
          <w:sz w:val="20"/>
          <w:szCs w:val="20"/>
          <w:rtl w:val="0"/>
        </w:rPr>
        <w:t xml:space="preserve">Region South America - Apuéstale a Higuita - WPlay.co: </w:t>
      </w:r>
      <w:r w:rsidDel="00000000" w:rsidR="00000000" w:rsidRPr="00000000">
        <w:rPr>
          <w:sz w:val="20"/>
          <w:szCs w:val="20"/>
          <w:rtl w:val="0"/>
        </w:rPr>
        <w:t xml:space="preserve">Como parte de una estrategia para generar visibilidad de marca para WPlay.co durante la Copa América. WPlay.co se asoció con el afamado portero colombiano y autor de la jugada 'escorpión', René Higuita, quien apostó su pelo si Colombia no ganaba este campeonato. La actividad tuvo un alto impacto nacional e internacional, logrando la publicación de cerca de 258 noticias en todo el mundo en más de 9 idiomas.</w:t>
      </w:r>
    </w:p>
    <w:p w:rsidR="00000000" w:rsidDel="00000000" w:rsidP="00000000" w:rsidRDefault="00000000" w:rsidRPr="00000000" w14:paraId="0000000D">
      <w:pPr>
        <w:spacing w:line="240" w:lineRule="auto"/>
        <w:ind w:left="0" w:firstLine="0"/>
        <w:jc w:val="both"/>
        <w:rPr>
          <w:sz w:val="20"/>
          <w:szCs w:val="20"/>
        </w:rPr>
      </w:pPr>
      <w:r w:rsidDel="00000000" w:rsidR="00000000" w:rsidRPr="00000000">
        <w:rPr>
          <w:rtl w:val="0"/>
        </w:rPr>
      </w:r>
    </w:p>
    <w:p w:rsidR="00000000" w:rsidDel="00000000" w:rsidP="00000000" w:rsidRDefault="00000000" w:rsidRPr="00000000" w14:paraId="0000000E">
      <w:pPr>
        <w:spacing w:line="240" w:lineRule="auto"/>
        <w:jc w:val="both"/>
        <w:rPr>
          <w:sz w:val="20"/>
          <w:szCs w:val="20"/>
        </w:rPr>
      </w:pPr>
      <w:r w:rsidDel="00000000" w:rsidR="00000000" w:rsidRPr="00000000">
        <w:rPr>
          <w:sz w:val="20"/>
          <w:szCs w:val="20"/>
          <w:rtl w:val="0"/>
        </w:rPr>
        <w:t xml:space="preserve">Adicional, Another Company posicionó otros 12 proyectos como finalistas en sus respectivas categorías: </w:t>
      </w:r>
    </w:p>
    <w:p w:rsidR="00000000" w:rsidDel="00000000" w:rsidP="00000000" w:rsidRDefault="00000000" w:rsidRPr="00000000" w14:paraId="0000000F">
      <w:pPr>
        <w:spacing w:line="240" w:lineRule="auto"/>
        <w:jc w:val="both"/>
        <w:rPr>
          <w:sz w:val="20"/>
          <w:szCs w:val="20"/>
        </w:rPr>
      </w:pPr>
      <w:r w:rsidDel="00000000" w:rsidR="00000000" w:rsidRPr="00000000">
        <w:rPr>
          <w:rtl w:val="0"/>
        </w:rPr>
      </w:r>
    </w:p>
    <w:p w:rsidR="00000000" w:rsidDel="00000000" w:rsidP="00000000" w:rsidRDefault="00000000" w:rsidRPr="00000000" w14:paraId="00000010">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Cuidado de la salud: Oral B. </w:t>
      </w:r>
    </w:p>
    <w:p w:rsidR="00000000" w:rsidDel="00000000" w:rsidP="00000000" w:rsidRDefault="00000000" w:rsidRPr="00000000" w14:paraId="00000011">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México (zona geográfica) y Tecnología: Logitech. </w:t>
      </w:r>
    </w:p>
    <w:p w:rsidR="00000000" w:rsidDel="00000000" w:rsidP="00000000" w:rsidRDefault="00000000" w:rsidRPr="00000000" w14:paraId="00000012">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Crisis y gestión de problemas: Cabify.</w:t>
      </w:r>
    </w:p>
    <w:p w:rsidR="00000000" w:rsidDel="00000000" w:rsidP="00000000" w:rsidRDefault="00000000" w:rsidRPr="00000000" w14:paraId="00000013">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Imagen corporativa: Strendus </w:t>
      </w:r>
    </w:p>
    <w:p w:rsidR="00000000" w:rsidDel="00000000" w:rsidP="00000000" w:rsidRDefault="00000000" w:rsidRPr="00000000" w14:paraId="00000014">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Sector Público/Gobierno: Embajada Británica. </w:t>
      </w:r>
    </w:p>
    <w:p w:rsidR="00000000" w:rsidDel="00000000" w:rsidP="00000000" w:rsidRDefault="00000000" w:rsidRPr="00000000" w14:paraId="00000015">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Business To Business Marketing: Carbyne. </w:t>
      </w:r>
    </w:p>
    <w:p w:rsidR="00000000" w:rsidDel="00000000" w:rsidP="00000000" w:rsidRDefault="00000000" w:rsidRPr="00000000" w14:paraId="00000016">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Moda y belleza: Ugg. </w:t>
      </w:r>
    </w:p>
    <w:p w:rsidR="00000000" w:rsidDel="00000000" w:rsidP="00000000" w:rsidRDefault="00000000" w:rsidRPr="00000000" w14:paraId="00000017">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Marketing integrado: Casa Dragones | Sophos. </w:t>
      </w:r>
    </w:p>
    <w:p w:rsidR="00000000" w:rsidDel="00000000" w:rsidP="00000000" w:rsidRDefault="00000000" w:rsidRPr="00000000" w14:paraId="00000018">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Argentina (zona geográfica): Jeff. </w:t>
      </w:r>
    </w:p>
    <w:p w:rsidR="00000000" w:rsidDel="00000000" w:rsidP="00000000" w:rsidRDefault="00000000" w:rsidRPr="00000000" w14:paraId="00000019">
      <w:pPr>
        <w:numPr>
          <w:ilvl w:val="0"/>
          <w:numId w:val="1"/>
        </w:numPr>
        <w:spacing w:line="240" w:lineRule="auto"/>
        <w:ind w:left="720" w:hanging="360"/>
        <w:jc w:val="both"/>
        <w:rPr>
          <w:sz w:val="20"/>
          <w:szCs w:val="20"/>
          <w:u w:val="none"/>
        </w:rPr>
      </w:pPr>
      <w:r w:rsidDel="00000000" w:rsidR="00000000" w:rsidRPr="00000000">
        <w:rPr>
          <w:sz w:val="20"/>
          <w:szCs w:val="20"/>
          <w:rtl w:val="0"/>
        </w:rPr>
        <w:t xml:space="preserve">Influencer Marketing: Gillette. </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Como parte del protocolo, Another Company participó durante el congreso RADICAL 2020 con la conferencia “Las marcas como líderes sociales y culturales” expuesta por Luis Ebenezer, VP de Estrategia y Experiential Mkt, en la cual, demostró su </w:t>
      </w:r>
      <w:r w:rsidDel="00000000" w:rsidR="00000000" w:rsidRPr="00000000">
        <w:rPr>
          <w:i w:val="1"/>
          <w:sz w:val="20"/>
          <w:szCs w:val="20"/>
          <w:rtl w:val="0"/>
        </w:rPr>
        <w:t xml:space="preserve">expertise</w:t>
      </w:r>
      <w:r w:rsidDel="00000000" w:rsidR="00000000" w:rsidRPr="00000000">
        <w:rPr>
          <w:sz w:val="20"/>
          <w:szCs w:val="20"/>
          <w:rtl w:val="0"/>
        </w:rPr>
        <w:t xml:space="preserve"> como una compañía disruptiva y evolutiva, consciente de los contextos sociales en los que nos desarrollamos mundialmente.</w:t>
      </w:r>
    </w:p>
    <w:p w:rsidR="00000000" w:rsidDel="00000000" w:rsidP="00000000" w:rsidRDefault="00000000" w:rsidRPr="00000000" w14:paraId="0000001C">
      <w:pPr>
        <w:jc w:val="both"/>
        <w:rPr>
          <w:sz w:val="20"/>
          <w:szCs w:val="20"/>
        </w:rPr>
      </w:pP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La participación de Another Company durante el congreso y la premiación, fortalece el compromiso de la agencia con las industrias, ya que por medio de esfuerzos extraordinarios, alta consultoría y valor tangible para los clientes, logran generar alianzas y construir relaciones a largo plazo que beneficien el negocio tanto de los sectores como de la comunicación.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jc w:val="both"/>
        <w:rPr>
          <w:b w:val="1"/>
          <w:sz w:val="16"/>
          <w:szCs w:val="16"/>
        </w:rPr>
      </w:pPr>
      <w:r w:rsidDel="00000000" w:rsidR="00000000" w:rsidRPr="00000000">
        <w:rPr>
          <w:b w:val="1"/>
          <w:sz w:val="16"/>
          <w:szCs w:val="16"/>
          <w:rtl w:val="0"/>
        </w:rPr>
        <w:t xml:space="preserve">####</w:t>
      </w:r>
    </w:p>
    <w:p w:rsidR="00000000" w:rsidDel="00000000" w:rsidP="00000000" w:rsidRDefault="00000000" w:rsidRPr="00000000" w14:paraId="00000020">
      <w:pPr>
        <w:jc w:val="both"/>
        <w:rPr>
          <w:b w:val="1"/>
          <w:sz w:val="16"/>
          <w:szCs w:val="16"/>
        </w:rPr>
      </w:pPr>
      <w:r w:rsidDel="00000000" w:rsidR="00000000" w:rsidRPr="00000000">
        <w:rPr>
          <w:rtl w:val="0"/>
        </w:rPr>
      </w:r>
    </w:p>
    <w:p w:rsidR="00000000" w:rsidDel="00000000" w:rsidP="00000000" w:rsidRDefault="00000000" w:rsidRPr="00000000" w14:paraId="00000021">
      <w:pPr>
        <w:jc w:val="both"/>
        <w:rPr>
          <w:b w:val="1"/>
          <w:sz w:val="16"/>
          <w:szCs w:val="16"/>
        </w:rPr>
      </w:pPr>
      <w:r w:rsidDel="00000000" w:rsidR="00000000" w:rsidRPr="00000000">
        <w:rPr>
          <w:b w:val="1"/>
          <w:sz w:val="16"/>
          <w:szCs w:val="16"/>
          <w:rtl w:val="0"/>
        </w:rPr>
        <w:t xml:space="preserve">SOBRE ANOTHER COMPANY GROUP </w:t>
      </w:r>
    </w:p>
    <w:p w:rsidR="00000000" w:rsidDel="00000000" w:rsidP="00000000" w:rsidRDefault="00000000" w:rsidRPr="00000000" w14:paraId="00000022">
      <w:pPr>
        <w:jc w:val="both"/>
        <w:rPr>
          <w:sz w:val="16"/>
          <w:szCs w:val="16"/>
        </w:rPr>
      </w:pPr>
      <w:r w:rsidDel="00000000" w:rsidR="00000000" w:rsidRPr="00000000">
        <w:rPr>
          <w:rtl w:val="0"/>
        </w:rPr>
      </w:r>
    </w:p>
    <w:p w:rsidR="00000000" w:rsidDel="00000000" w:rsidP="00000000" w:rsidRDefault="00000000" w:rsidRPr="00000000" w14:paraId="00000023">
      <w:pPr>
        <w:jc w:val="both"/>
        <w:rPr>
          <w:sz w:val="16"/>
          <w:szCs w:val="16"/>
        </w:rPr>
      </w:pPr>
      <w:r w:rsidDel="00000000" w:rsidR="00000000" w:rsidRPr="00000000">
        <w:rPr>
          <w:sz w:val="16"/>
          <w:szCs w:val="16"/>
          <w:rtl w:val="0"/>
        </w:rPr>
        <w:t xml:space="preserve">Fundada en 2004 por Jaspar Eyears y Rodrigo Peñafiel, </w:t>
      </w:r>
      <w:r w:rsidDel="00000000" w:rsidR="00000000" w:rsidRPr="00000000">
        <w:rPr>
          <w:b w:val="1"/>
          <w:sz w:val="16"/>
          <w:szCs w:val="16"/>
          <w:rtl w:val="0"/>
        </w:rPr>
        <w:t xml:space="preserve">Another Company Group</w:t>
      </w:r>
      <w:r w:rsidDel="00000000" w:rsidR="00000000" w:rsidRPr="00000000">
        <w:rPr>
          <w:sz w:val="16"/>
          <w:szCs w:val="16"/>
          <w:rtl w:val="0"/>
        </w:rPr>
        <w:t xml:space="preserve">, agencia independiente de comunicación tiene como objetivo revolucionar la comunicación estratégica por medio de campañas poderosas y efectivas para posicionar diversas marcas frente a sus audiencias. </w:t>
      </w:r>
      <w:r w:rsidDel="00000000" w:rsidR="00000000" w:rsidRPr="00000000">
        <w:rPr>
          <w:b w:val="1"/>
          <w:sz w:val="16"/>
          <w:szCs w:val="16"/>
          <w:rtl w:val="0"/>
        </w:rPr>
        <w:t xml:space="preserve">Another Company </w:t>
      </w:r>
      <w:r w:rsidDel="00000000" w:rsidR="00000000" w:rsidRPr="00000000">
        <w:rPr>
          <w:sz w:val="16"/>
          <w:szCs w:val="16"/>
          <w:rtl w:val="0"/>
        </w:rPr>
        <w:t xml:space="preserve">cuenta con servicios integrados como relaciones públicas, comunicación digital, </w:t>
      </w:r>
      <w:r w:rsidDel="00000000" w:rsidR="00000000" w:rsidRPr="00000000">
        <w:rPr>
          <w:i w:val="1"/>
          <w:sz w:val="16"/>
          <w:szCs w:val="16"/>
          <w:rtl w:val="0"/>
        </w:rPr>
        <w:t xml:space="preserve">influencers marketing</w:t>
      </w:r>
      <w:r w:rsidDel="00000000" w:rsidR="00000000" w:rsidRPr="00000000">
        <w:rPr>
          <w:sz w:val="16"/>
          <w:szCs w:val="16"/>
          <w:rtl w:val="0"/>
        </w:rPr>
        <w:t xml:space="preserve">, </w:t>
      </w:r>
      <w:r w:rsidDel="00000000" w:rsidR="00000000" w:rsidRPr="00000000">
        <w:rPr>
          <w:i w:val="1"/>
          <w:sz w:val="16"/>
          <w:szCs w:val="16"/>
          <w:rtl w:val="0"/>
        </w:rPr>
        <w:t xml:space="preserve">social media, branding, content &amp; inbound marketing</w:t>
      </w:r>
      <w:r w:rsidDel="00000000" w:rsidR="00000000" w:rsidRPr="00000000">
        <w:rPr>
          <w:sz w:val="16"/>
          <w:szCs w:val="16"/>
          <w:rtl w:val="0"/>
        </w:rPr>
        <w:t xml:space="preserve">, creativo y diseño, y experiencias de marca. La agencia opera bajo unidades de negocio especializadas, clasificadas en: moda, belleza, estilo de vida, consumo masivo, tecnología, lujo, cultura, </w:t>
      </w:r>
      <w:r w:rsidDel="00000000" w:rsidR="00000000" w:rsidRPr="00000000">
        <w:rPr>
          <w:i w:val="1"/>
          <w:sz w:val="16"/>
          <w:szCs w:val="16"/>
          <w:rtl w:val="0"/>
        </w:rPr>
        <w:t xml:space="preserve">health &amp; wellness</w:t>
      </w:r>
      <w:r w:rsidDel="00000000" w:rsidR="00000000" w:rsidRPr="00000000">
        <w:rPr>
          <w:sz w:val="16"/>
          <w:szCs w:val="16"/>
          <w:rtl w:val="0"/>
        </w:rPr>
        <w:t xml:space="preserve"> y corporativo. </w:t>
      </w:r>
      <w:r w:rsidDel="00000000" w:rsidR="00000000" w:rsidRPr="00000000">
        <w:rPr>
          <w:b w:val="1"/>
          <w:sz w:val="16"/>
          <w:szCs w:val="16"/>
          <w:rtl w:val="0"/>
        </w:rPr>
        <w:t xml:space="preserve">Another Company Group</w:t>
      </w:r>
      <w:r w:rsidDel="00000000" w:rsidR="00000000" w:rsidRPr="00000000">
        <w:rPr>
          <w:sz w:val="16"/>
          <w:szCs w:val="16"/>
          <w:rtl w:val="0"/>
        </w:rPr>
        <w:t xml:space="preserve"> forma parte de la </w:t>
      </w:r>
      <w:r w:rsidDel="00000000" w:rsidR="00000000" w:rsidRPr="00000000">
        <w:rPr>
          <w:i w:val="1"/>
          <w:sz w:val="16"/>
          <w:szCs w:val="16"/>
          <w:rtl w:val="0"/>
        </w:rPr>
        <w:t xml:space="preserve">Public Relations Global Network,</w:t>
      </w:r>
      <w:r w:rsidDel="00000000" w:rsidR="00000000" w:rsidRPr="00000000">
        <w:rPr>
          <w:sz w:val="16"/>
          <w:szCs w:val="16"/>
          <w:rtl w:val="0"/>
        </w:rPr>
        <w:t xml:space="preserve"> PRORP, Consejo de la Comunicación, Círculo Creativo, I.A.B. México y AMAPF y ha sido reconocida con diversos premios como los SABRE Awards y los Latin American Excellence Awards.  Posee oficinas en México (Ciudad de México), Argentina (Buenos Aires), Chile (Santiago), Colombia (Bogotá), Panamá (Ciudad de Panamá) y Perú (Lima) con alcance en Estados Unidos.</w:t>
      </w:r>
    </w:p>
    <w:p w:rsidR="00000000" w:rsidDel="00000000" w:rsidP="00000000" w:rsidRDefault="00000000" w:rsidRPr="00000000" w14:paraId="00000024">
      <w:pPr>
        <w:jc w:val="both"/>
        <w:rPr>
          <w:sz w:val="16"/>
          <w:szCs w:val="16"/>
        </w:rPr>
      </w:pPr>
      <w:r w:rsidDel="00000000" w:rsidR="00000000" w:rsidRPr="00000000">
        <w:rPr>
          <w:rtl w:val="0"/>
        </w:rPr>
      </w:r>
    </w:p>
    <w:p w:rsidR="00000000" w:rsidDel="00000000" w:rsidP="00000000" w:rsidRDefault="00000000" w:rsidRPr="00000000" w14:paraId="00000025">
      <w:pPr>
        <w:jc w:val="both"/>
        <w:rPr>
          <w:sz w:val="16"/>
          <w:szCs w:val="16"/>
        </w:rPr>
      </w:pPr>
      <w:r w:rsidDel="00000000" w:rsidR="00000000" w:rsidRPr="00000000">
        <w:rPr>
          <w:sz w:val="16"/>
          <w:szCs w:val="16"/>
          <w:rtl w:val="0"/>
        </w:rPr>
        <w:t xml:space="preserve">Para más información visita: </w:t>
      </w:r>
      <w:hyperlink r:id="rId6">
        <w:r w:rsidDel="00000000" w:rsidR="00000000" w:rsidRPr="00000000">
          <w:rPr>
            <w:color w:val="1155cc"/>
            <w:sz w:val="16"/>
            <w:szCs w:val="16"/>
            <w:u w:val="single"/>
            <w:rtl w:val="0"/>
          </w:rPr>
          <w:t xml:space="preserve">https://another.co/</w:t>
        </w:r>
      </w:hyperlink>
      <w:r w:rsidDel="00000000" w:rsidR="00000000" w:rsidRPr="00000000">
        <w:rPr>
          <w:sz w:val="16"/>
          <w:szCs w:val="16"/>
          <w:rtl w:val="0"/>
        </w:rPr>
        <w:t xml:space="preserve"> y en redes sociales: </w:t>
      </w:r>
      <w:hyperlink r:id="rId7">
        <w:r w:rsidDel="00000000" w:rsidR="00000000" w:rsidRPr="00000000">
          <w:rPr>
            <w:color w:val="1155cc"/>
            <w:sz w:val="16"/>
            <w:szCs w:val="16"/>
            <w:u w:val="single"/>
            <w:rtl w:val="0"/>
          </w:rPr>
          <w:t xml:space="preserve">Facebook</w:t>
        </w:r>
      </w:hyperlink>
      <w:r w:rsidDel="00000000" w:rsidR="00000000" w:rsidRPr="00000000">
        <w:rPr>
          <w:sz w:val="16"/>
          <w:szCs w:val="16"/>
          <w:rtl w:val="0"/>
        </w:rPr>
        <w:t xml:space="preserve">, </w:t>
      </w:r>
      <w:hyperlink r:id="rId8">
        <w:r w:rsidDel="00000000" w:rsidR="00000000" w:rsidRPr="00000000">
          <w:rPr>
            <w:color w:val="1155cc"/>
            <w:sz w:val="16"/>
            <w:szCs w:val="16"/>
            <w:u w:val="single"/>
            <w:rtl w:val="0"/>
          </w:rPr>
          <w:t xml:space="preserve">Twitter</w:t>
        </w:r>
      </w:hyperlink>
      <w:r w:rsidDel="00000000" w:rsidR="00000000" w:rsidRPr="00000000">
        <w:rPr>
          <w:sz w:val="16"/>
          <w:szCs w:val="16"/>
          <w:rtl w:val="0"/>
        </w:rPr>
        <w:t xml:space="preserve">, </w:t>
      </w:r>
      <w:hyperlink r:id="rId9">
        <w:r w:rsidDel="00000000" w:rsidR="00000000" w:rsidRPr="00000000">
          <w:rPr>
            <w:color w:val="1155cc"/>
            <w:sz w:val="16"/>
            <w:szCs w:val="16"/>
            <w:u w:val="single"/>
            <w:rtl w:val="0"/>
          </w:rPr>
          <w:t xml:space="preserve">Instagram</w:t>
        </w:r>
      </w:hyperlink>
      <w:r w:rsidDel="00000000" w:rsidR="00000000" w:rsidRPr="00000000">
        <w:rPr>
          <w:sz w:val="16"/>
          <w:szCs w:val="16"/>
          <w:rtl w:val="0"/>
        </w:rPr>
        <w:t xml:space="preserve"> y </w:t>
      </w:r>
      <w:hyperlink r:id="rId10">
        <w:r w:rsidDel="00000000" w:rsidR="00000000" w:rsidRPr="00000000">
          <w:rPr>
            <w:color w:val="1155cc"/>
            <w:sz w:val="16"/>
            <w:szCs w:val="16"/>
            <w:u w:val="single"/>
            <w:rtl w:val="0"/>
          </w:rPr>
          <w:t xml:space="preserve">Linkedin</w:t>
        </w:r>
      </w:hyperlink>
      <w:r w:rsidDel="00000000" w:rsidR="00000000" w:rsidRPr="00000000">
        <w:rPr>
          <w:sz w:val="16"/>
          <w:szCs w:val="16"/>
          <w:rtl w:val="0"/>
        </w:rPr>
        <w:t xml:space="preserve">.</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sectPr>
      <w:headerReference r:id="rId11"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jc w:val="right"/>
      <w:rPr/>
    </w:pPr>
    <w:r w:rsidDel="00000000" w:rsidR="00000000" w:rsidRPr="00000000">
      <w:rPr/>
      <w:drawing>
        <wp:inline distB="114300" distT="114300" distL="114300" distR="114300">
          <wp:extent cx="690563" cy="6905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90563" cy="6905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anotherco/" TargetMode="External"/><Relationship Id="rId9" Type="http://schemas.openxmlformats.org/officeDocument/2006/relationships/hyperlink" Target="https://www.instagram.com/anotherco/" TargetMode="External"/><Relationship Id="rId5" Type="http://schemas.openxmlformats.org/officeDocument/2006/relationships/styles" Target="styles.xml"/><Relationship Id="rId6" Type="http://schemas.openxmlformats.org/officeDocument/2006/relationships/hyperlink" Target="https://another.co/" TargetMode="External"/><Relationship Id="rId7" Type="http://schemas.openxmlformats.org/officeDocument/2006/relationships/hyperlink" Target="https://www.facebook.com/anothercompany/" TargetMode="External"/><Relationship Id="rId8" Type="http://schemas.openxmlformats.org/officeDocument/2006/relationships/hyperlink" Target="https://twitter.com/anotherco?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